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4A" w:rsidRPr="00E71246" w:rsidRDefault="00E71246" w:rsidP="00E71246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30"/>
          <w:szCs w:val="30"/>
        </w:rPr>
      </w:pPr>
      <w:r w:rsidRPr="00E71246">
        <w:rPr>
          <w:rFonts w:ascii="Times New Roman" w:hAnsi="Times New Roman" w:cs="Times New Roman"/>
          <w:spacing w:val="-8"/>
          <w:sz w:val="30"/>
          <w:szCs w:val="30"/>
        </w:rPr>
        <w:t>Обоснование</w:t>
      </w:r>
    </w:p>
    <w:p w:rsidR="00E71246" w:rsidRPr="00E71246" w:rsidRDefault="00E71246" w:rsidP="00E71246">
      <w:pPr>
        <w:spacing w:after="0" w:line="240" w:lineRule="auto"/>
        <w:ind w:hanging="284"/>
        <w:jc w:val="center"/>
        <w:rPr>
          <w:rFonts w:ascii="Times New Roman" w:hAnsi="Times New Roman" w:cs="Times New Roman"/>
          <w:spacing w:val="-8"/>
          <w:sz w:val="30"/>
          <w:szCs w:val="30"/>
        </w:rPr>
      </w:pPr>
      <w:r w:rsidRPr="00E71246">
        <w:rPr>
          <w:rFonts w:ascii="Times New Roman" w:hAnsi="Times New Roman" w:cs="Times New Roman"/>
          <w:spacing w:val="-8"/>
          <w:sz w:val="30"/>
          <w:szCs w:val="30"/>
        </w:rPr>
        <w:t>необходимости принятия решения Минского областного Совета депутатов</w:t>
      </w:r>
    </w:p>
    <w:p w:rsidR="00536606" w:rsidRDefault="00E71246" w:rsidP="00536606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30"/>
          <w:szCs w:val="30"/>
        </w:rPr>
      </w:pPr>
      <w:r w:rsidRPr="00E71246">
        <w:rPr>
          <w:rFonts w:ascii="Times New Roman" w:hAnsi="Times New Roman" w:cs="Times New Roman"/>
          <w:spacing w:val="-8"/>
          <w:sz w:val="30"/>
          <w:szCs w:val="30"/>
        </w:rPr>
        <w:t>«</w:t>
      </w:r>
      <w:r w:rsidR="00536606" w:rsidRPr="00536606">
        <w:rPr>
          <w:rFonts w:ascii="Times New Roman" w:hAnsi="Times New Roman" w:cs="Times New Roman"/>
          <w:spacing w:val="-8"/>
          <w:sz w:val="30"/>
          <w:szCs w:val="30"/>
        </w:rPr>
        <w:t xml:space="preserve">Об утверждении схемы рационального размещения особо охраняемых природных территорий местного значения Минской области </w:t>
      </w:r>
    </w:p>
    <w:p w:rsidR="00E71246" w:rsidRPr="00E71246" w:rsidRDefault="00536606" w:rsidP="00536606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30"/>
          <w:szCs w:val="30"/>
        </w:rPr>
      </w:pPr>
      <w:r w:rsidRPr="00536606">
        <w:rPr>
          <w:rFonts w:ascii="Times New Roman" w:hAnsi="Times New Roman" w:cs="Times New Roman"/>
          <w:spacing w:val="-8"/>
          <w:sz w:val="30"/>
          <w:szCs w:val="30"/>
        </w:rPr>
        <w:t>на 2024 – 2033 годы</w:t>
      </w:r>
      <w:r w:rsidR="00E71246" w:rsidRPr="00E71246">
        <w:rPr>
          <w:rFonts w:ascii="Times New Roman" w:hAnsi="Times New Roman" w:cs="Times New Roman"/>
          <w:spacing w:val="-8"/>
          <w:sz w:val="30"/>
          <w:szCs w:val="30"/>
        </w:rPr>
        <w:t>»</w:t>
      </w:r>
    </w:p>
    <w:p w:rsidR="00E71246" w:rsidRPr="00E71246" w:rsidRDefault="00E71246" w:rsidP="00E71246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30"/>
          <w:szCs w:val="30"/>
        </w:rPr>
      </w:pPr>
    </w:p>
    <w:p w:rsidR="00CD47A8" w:rsidRPr="00CD47A8" w:rsidRDefault="00CD47A8" w:rsidP="00CD47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Территориальное развитие системы </w:t>
      </w:r>
      <w:r w:rsidR="00536606" w:rsidRP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особо охраняемых природных территорий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(далее – ООПТ)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местного значения на территории Минской области осуществля</w:t>
      </w:r>
      <w:r w:rsidR="00CD47EA">
        <w:rPr>
          <w:rFonts w:ascii="Times New Roman" w:hAnsi="Times New Roman" w:cs="Times New Roman"/>
          <w:spacing w:val="-8"/>
          <w:sz w:val="30"/>
          <w:szCs w:val="30"/>
          <w:lang w:bidi="ru-RU"/>
        </w:rPr>
        <w:t>ется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на основ</w:t>
      </w:r>
      <w:r w:rsidR="006621DE">
        <w:rPr>
          <w:rFonts w:ascii="Times New Roman" w:hAnsi="Times New Roman" w:cs="Times New Roman"/>
          <w:spacing w:val="-8"/>
          <w:sz w:val="30"/>
          <w:szCs w:val="30"/>
          <w:lang w:bidi="ru-RU"/>
        </w:rPr>
        <w:t>ании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С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хемы рационального размещения </w:t>
      </w:r>
      <w:r w:rsidR="00536606" w:rsidRP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особо охраняемых природных территорий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местного значения Минской области 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>на 2014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>2023 гг., утвержденной решением Минского областного Совета депутатов от 30 декабря 2013 года № 266 (</w:t>
      </w:r>
      <w:r w:rsid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>далее – Региональная схема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>).</w:t>
      </w:r>
      <w:r w:rsidR="006621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По итогам реализации Региональной схемы о</w:t>
      </w:r>
      <w:r w:rsidR="006621DE" w:rsidRPr="006621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бщая площадь, занятая ООПТ 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</w:t>
      </w:r>
      <w:r w:rsidR="00467CC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местного значения </w:t>
      </w:r>
      <w:bookmarkStart w:id="0" w:name="_GoBack"/>
      <w:bookmarkEnd w:id="0"/>
      <w:r w:rsidR="006621DE" w:rsidRPr="006621DE">
        <w:rPr>
          <w:rFonts w:ascii="Times New Roman" w:hAnsi="Times New Roman" w:cs="Times New Roman"/>
          <w:spacing w:val="-8"/>
          <w:sz w:val="30"/>
          <w:szCs w:val="30"/>
          <w:lang w:bidi="ru-RU"/>
        </w:rPr>
        <w:t>на территории Минской области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>,</w:t>
      </w:r>
      <w:r w:rsidR="006621DE" w:rsidRPr="006621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определяется в значении 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>более</w:t>
      </w:r>
      <w:r w:rsidR="006621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017650">
        <w:rPr>
          <w:rFonts w:ascii="Times New Roman" w:hAnsi="Times New Roman" w:cs="Times New Roman"/>
          <w:spacing w:val="-8"/>
          <w:sz w:val="30"/>
          <w:szCs w:val="30"/>
          <w:lang w:bidi="ru-RU"/>
        </w:rPr>
        <w:t>74,37 тыс. га, что составляет 1,8</w:t>
      </w:r>
      <w:r w:rsidR="006621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% от площади региона. Функционирование</w:t>
      </w:r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Региональной схемы</w:t>
      </w:r>
      <w:r w:rsidR="006621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прекращается 1 января 2024 года.</w:t>
      </w:r>
    </w:p>
    <w:p w:rsidR="00CD47A8" w:rsidRDefault="00CD47A8" w:rsidP="00CD47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Проект 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С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хемы рационального размещения особо охраняемых природных территорий местного значения Минской области на 2024-2033 годы </w:t>
      </w:r>
      <w:r w:rsidR="00CD47EA"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>разраб</w:t>
      </w:r>
      <w:r w:rsidR="00CD47E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отан </w:t>
      </w:r>
      <w:r w:rsidR="00CD47EA" w:rsidRPr="00CD47EA">
        <w:rPr>
          <w:rFonts w:ascii="Times New Roman" w:hAnsi="Times New Roman" w:cs="Times New Roman"/>
          <w:spacing w:val="-8"/>
          <w:sz w:val="30"/>
          <w:szCs w:val="30"/>
          <w:lang w:bidi="ru-RU"/>
        </w:rPr>
        <w:t>государственн</w:t>
      </w:r>
      <w:r w:rsidR="0063188A">
        <w:rPr>
          <w:rFonts w:ascii="Times New Roman" w:hAnsi="Times New Roman" w:cs="Times New Roman"/>
          <w:spacing w:val="-8"/>
          <w:sz w:val="30"/>
          <w:szCs w:val="30"/>
          <w:lang w:bidi="ru-RU"/>
        </w:rPr>
        <w:t>ым</w:t>
      </w:r>
      <w:r w:rsidR="00CD47EA" w:rsidRPr="00CD47E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научно-производственн</w:t>
      </w:r>
      <w:r w:rsidR="0063188A">
        <w:rPr>
          <w:rFonts w:ascii="Times New Roman" w:hAnsi="Times New Roman" w:cs="Times New Roman"/>
          <w:spacing w:val="-8"/>
          <w:sz w:val="30"/>
          <w:szCs w:val="30"/>
          <w:lang w:bidi="ru-RU"/>
        </w:rPr>
        <w:t>ым</w:t>
      </w:r>
      <w:r w:rsidR="00CD47EA" w:rsidRPr="00CD47E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объединение</w:t>
      </w:r>
      <w:r w:rsidR="0063188A">
        <w:rPr>
          <w:rFonts w:ascii="Times New Roman" w:hAnsi="Times New Roman" w:cs="Times New Roman"/>
          <w:spacing w:val="-8"/>
          <w:sz w:val="30"/>
          <w:szCs w:val="30"/>
          <w:lang w:bidi="ru-RU"/>
        </w:rPr>
        <w:t>м</w:t>
      </w:r>
      <w:r w:rsidR="00CD47EA" w:rsidRPr="00CD47E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«Научно-практический центр Национальной Академии Наук Беларуси по биоресурсам»</w:t>
      </w:r>
      <w:r w:rsid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(далее – НПЦ НАН Беларуси по биоресурсам)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в соответствии со статьей 14 Закона </w:t>
      </w:r>
      <w:r w:rsidR="00035997" w:rsidRP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Республики Беларусь от 15.11.2018 </w:t>
      </w:r>
      <w:r w:rsid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>№</w:t>
      </w:r>
      <w:r w:rsidR="00035997" w:rsidRP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150-З </w:t>
      </w:r>
      <w:r w:rsid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>«</w:t>
      </w:r>
      <w:r w:rsidR="00035997" w:rsidRP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>Об особо о</w:t>
      </w:r>
      <w:r w:rsid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>храняемых природных территориях»</w:t>
      </w:r>
      <w:r w:rsid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(далее – Закон)</w:t>
      </w:r>
      <w:r w:rsidRPr="00CD47A8">
        <w:rPr>
          <w:rFonts w:ascii="Times New Roman" w:hAnsi="Times New Roman" w:cs="Times New Roman"/>
          <w:spacing w:val="-8"/>
          <w:sz w:val="30"/>
          <w:szCs w:val="30"/>
          <w:lang w:bidi="ru-RU"/>
        </w:rPr>
        <w:t>, с учетом реализации действующей Региональной схемы и имеющегося опыта разработки документов стратегического планирования в области территориального развития ООПТ.</w:t>
      </w:r>
    </w:p>
    <w:p w:rsidR="00FD4F7F" w:rsidRPr="00FD4F7F" w:rsidRDefault="00536606" w:rsidP="00CD47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Схемой</w:t>
      </w:r>
      <w:r w:rsidR="00FD4F7F"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рационального размещения особо охраняемых природных территорий местного значения Минс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>кой области на 2024 – 2033 годы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(далее – 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Схема ООПТ на 2024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2033 гг.</w:t>
      </w:r>
      <w:r w:rsid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) </w:t>
      </w:r>
      <w:r w:rsidR="00FD4F7F"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>определены оптимальные сроки проведения мероприятий по объявлению, преобразованию и прекращению функционирования заказников и памятников природы местного значения.</w:t>
      </w:r>
    </w:p>
    <w:p w:rsidR="00FD4F7F" w:rsidRPr="00FD4F7F" w:rsidRDefault="00FD4F7F" w:rsidP="00FD4F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Необходимо отметить, что в рамках 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Схемы ООПТ на 2024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2033 гг.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запланированы к преобразованию заказники и памятники природы местного значения, объявленные 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и (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>или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)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преобразованные до 2019 года в целях приведения природоохранной документации в соответствие с действующим законодательством (в 2019 году вступил в силу </w:t>
      </w:r>
      <w:r w:rsid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Закон </w:t>
      </w:r>
      <w:r w:rsidR="00DA03ED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Республики Беларусь 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</w:t>
      </w:r>
      <w:r w:rsidR="00DA03ED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от 15.11.2018 № 150-З «Об особо охраняемых природных территориях»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). </w:t>
      </w:r>
    </w:p>
    <w:p w:rsidR="00FD4F7F" w:rsidRPr="00FD4F7F" w:rsidRDefault="00FD4F7F" w:rsidP="00FD4F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рамках 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Схемы</w:t>
      </w:r>
      <w:r w:rsidR="00536606" w:rsidRP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ООПТ на 2024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536606" w:rsidRP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2033 гг.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предлагается объявление ряда новых заказников и памятн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>иков природы местного значения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>, соответствующих критериям выбора природных территорий для объяв</w:t>
      </w:r>
      <w:r w:rsid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ления их ООПТ (наличие типичных и (или)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редких природных ландшафтов или биотопов, наличие мест обитания видов, включенных в Красную книгу Республики Беларусь, наличие естественных водных объектов, форм рельефа уникальных или редких 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lastRenderedPageBreak/>
        <w:t xml:space="preserve">по своему происхождению, и др.). Планируется, что к 2033 году площадь ООПТ местного значения может увеличиться на 6,5 тысяч гектаров и составить около 80 тыс. га. </w:t>
      </w:r>
    </w:p>
    <w:p w:rsidR="00035997" w:rsidRDefault="00FD4F7F" w:rsidP="00FD4F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тоже время в рамках реализации 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>Схемы</w:t>
      </w:r>
      <w:r w:rsidR="00CC3C9B" w:rsidRP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ООПТ на 2024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CC3C9B" w:rsidRP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>2033 гг.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035997"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>учтё</w:t>
      </w:r>
      <w:r w:rsid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>н тот факт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, что ряд заказников местного значения планируются к включению 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Схему рационального размещения ООПТ республиканского значения для объявления на их базе заказников республиканского значения. </w:t>
      </w:r>
    </w:p>
    <w:p w:rsidR="00FD4F7F" w:rsidRPr="00FD4F7F" w:rsidRDefault="00FD4F7F" w:rsidP="00FD4F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>В этом случае площадь ООПТ местного значения ос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>танется на существующем уровне</w:t>
      </w:r>
      <w:r w:rsidR="000176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(более 74,37 тыс. га</w:t>
      </w:r>
      <w:r w:rsidR="00017650" w:rsidRPr="000176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017650">
        <w:rPr>
          <w:rFonts w:ascii="Times New Roman" w:hAnsi="Times New Roman" w:cs="Times New Roman"/>
          <w:spacing w:val="-8"/>
          <w:sz w:val="30"/>
          <w:szCs w:val="30"/>
          <w:lang w:bidi="ru-RU"/>
        </w:rPr>
        <w:t>или</w:t>
      </w:r>
      <w:r w:rsidR="00017650" w:rsidRPr="000176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1,8 %</w:t>
      </w:r>
      <w:r w:rsidR="00017650">
        <w:rPr>
          <w:rFonts w:ascii="Times New Roman" w:hAnsi="Times New Roman" w:cs="Times New Roman"/>
          <w:spacing w:val="-8"/>
          <w:sz w:val="30"/>
          <w:szCs w:val="30"/>
          <w:lang w:bidi="ru-RU"/>
        </w:rPr>
        <w:t>)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, а 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общая площадь ООПТ (республиканского и местного значения) на территории Минской области увеличиться </w:t>
      </w:r>
      <w:r w:rsidR="00017650">
        <w:rPr>
          <w:rFonts w:ascii="Times New Roman" w:hAnsi="Times New Roman" w:cs="Times New Roman"/>
          <w:spacing w:val="-8"/>
          <w:sz w:val="30"/>
          <w:szCs w:val="30"/>
          <w:lang w:bidi="ru-RU"/>
        </w:rPr>
        <w:t>с 306,2 тыс. га до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315 тыс. га </w:t>
      </w:r>
      <w:r w:rsidR="000176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составит 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>8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>% от территории области.</w:t>
      </w:r>
    </w:p>
    <w:p w:rsidR="007357FB" w:rsidRDefault="00FD4F7F" w:rsidP="00FD4F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рамках подготовки </w:t>
      </w:r>
      <w:r w:rsidR="00CC3C9B" w:rsidRP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>Схем</w:t>
      </w:r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>ы</w:t>
      </w:r>
      <w:r w:rsidR="00CC3C9B" w:rsidRP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ООПТ на 2024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CC3C9B" w:rsidRP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>2033 гг.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проведено согласование мероприятий по объявлению заказников и памятников природы местного значения с землепользователями, проведено согласование сроков выполнения мероприятия по объявлению и преобразованию ООПТ 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   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с лесохозяйственными учреждениями, а также проведено согласование </w:t>
      </w:r>
      <w:r w:rsidR="00035997">
        <w:rPr>
          <w:rFonts w:ascii="Times New Roman" w:hAnsi="Times New Roman" w:cs="Times New Roman"/>
          <w:spacing w:val="-8"/>
          <w:sz w:val="30"/>
          <w:szCs w:val="30"/>
          <w:lang w:bidi="ru-RU"/>
        </w:rPr>
        <w:t>Проекта</w:t>
      </w:r>
      <w:r w:rsidRPr="00FD4F7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 районными исполнительными комитетами.</w:t>
      </w:r>
    </w:p>
    <w:p w:rsid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целях приведения природоохранной документации 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>ООПТ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местного значения (решения, положения) в соответствие с действующим </w:t>
      </w:r>
      <w:proofErr w:type="gram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Законом, 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</w:t>
      </w:r>
      <w:proofErr w:type="gramEnd"/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а также в целях уточнения границ и состава земель, а также необходимости функционирования ООПТ на местном уровне (после преобразования 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 заказники республиканского значения), предусматриваются мероп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риятия, приведенные в таблице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1</w:t>
      </w:r>
      <w:r w:rsidR="008A6302">
        <w:rPr>
          <w:rFonts w:ascii="Times New Roman" w:hAnsi="Times New Roman" w:cs="Times New Roman"/>
          <w:spacing w:val="-8"/>
          <w:sz w:val="30"/>
          <w:szCs w:val="30"/>
          <w:lang w:bidi="ru-RU"/>
        </w:rPr>
        <w:t>, 2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.</w:t>
      </w:r>
    </w:p>
    <w:p w:rsidR="00DA03ED" w:rsidRDefault="002F529F" w:rsidP="00B01A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Преобразование заказников местного значения «</w:t>
      </w:r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Бортники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«Соколиный», «</w:t>
      </w:r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Река </w:t>
      </w:r>
      <w:proofErr w:type="spellStart"/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>Вязынка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Сосна </w:t>
      </w:r>
      <w:proofErr w:type="spellStart"/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>веймутова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proofErr w:type="spellStart"/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>Ленчино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 и памятников природы местного значения «Большой камень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дядичский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«Большой камень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ивашиновичский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«Большой камень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лыцевичский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«Большой камень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русскосельский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«Гора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Мироткова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«Гора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Подвысокая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кам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)», «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Кавеневская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котловина», «Парк «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Луковец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«Парк «Любань», «Парк «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Остюковичи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«Родник Святая вода», «Родник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Стреж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proofErr w:type="spellStart"/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>Л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яховичские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дубы», «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Демидовичские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родники», «Парк «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Станьково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«Родник около деревни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Радима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«Участок карельской березы», «</w:t>
      </w:r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>Парк «</w:t>
      </w:r>
      <w:proofErr w:type="spellStart"/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>Игнатичи</w:t>
      </w:r>
      <w:proofErr w:type="spellEnd"/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>»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, «Сросшиеся дуб и сосна», «</w:t>
      </w:r>
      <w:proofErr w:type="spellStart"/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>Роговский</w:t>
      </w:r>
      <w:proofErr w:type="spellEnd"/>
      <w:r w:rsidRPr="002F529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родник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Лиственн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ица в Лебедевском лесничестве», «Парк «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Березинское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«Парк «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Малиновщина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«Парк «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Яхимовщина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Лесные кул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ьтуры с участием пихты белой»,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П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ольские культуры лиственницы», «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Вередовский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дендропарк», «Вековые дубы в д. 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Хохлово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«Вековая аллея в д. 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Бояры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«Гора 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Копланщина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Гора Курган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Гора Маяк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proofErr w:type="spellStart"/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Слободковская</w:t>
      </w:r>
      <w:proofErr w:type="spellEnd"/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выдма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Шведская гора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Криница Богдановича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Родник </w:t>
      </w:r>
      <w:proofErr w:type="spellStart"/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Лешно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«Большой камень 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жосненский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«Большой камень 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кочергинский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«Большой камень 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моргиновский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«Гора Барсучиха»,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Гора </w:t>
      </w:r>
      <w:proofErr w:type="spellStart"/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Пустовины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», «Камень 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брилевский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Камень </w:t>
      </w:r>
      <w:proofErr w:type="spellStart"/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дягилевский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«Парк «Будслав»,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Парк «Комарово»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, «</w:t>
      </w:r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Парк «</w:t>
      </w:r>
      <w:proofErr w:type="spellStart"/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Ольшево</w:t>
      </w:r>
      <w:proofErr w:type="spellEnd"/>
      <w:r w:rsidR="00B01AD5" w:rsidRP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, «Парк Победы </w:t>
      </w:r>
      <w:r w:rsidR="00467CC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</w:t>
      </w:r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lastRenderedPageBreak/>
        <w:t xml:space="preserve">в г. </w:t>
      </w:r>
      <w:proofErr w:type="spellStart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Мяделе</w:t>
      </w:r>
      <w:proofErr w:type="spellEnd"/>
      <w:r w:rsidR="00B01AD5">
        <w:rPr>
          <w:rFonts w:ascii="Times New Roman" w:hAnsi="Times New Roman" w:cs="Times New Roman"/>
          <w:spacing w:val="-8"/>
          <w:sz w:val="30"/>
          <w:szCs w:val="30"/>
          <w:lang w:bidi="ru-RU"/>
        </w:rPr>
        <w:t>», «Парк «Старый Мядель»</w:t>
      </w:r>
      <w:r w:rsidR="00467CC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467CCD" w:rsidRPr="00467CC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2024 году предусмотрено </w:t>
      </w:r>
      <w:r w:rsidR="00467CC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           </w:t>
      </w:r>
      <w:r w:rsidR="00467CCD" w:rsidRPr="00467CC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соответствии </w:t>
      </w:r>
      <w:r w:rsidR="00467CCD">
        <w:rPr>
          <w:rFonts w:ascii="Times New Roman" w:hAnsi="Times New Roman" w:cs="Times New Roman"/>
          <w:spacing w:val="-8"/>
          <w:sz w:val="30"/>
          <w:szCs w:val="30"/>
          <w:lang w:bidi="ru-RU"/>
        </w:rPr>
        <w:t>с Региональной схемой.</w:t>
      </w:r>
    </w:p>
    <w:p w:rsidR="00B01AD5" w:rsidRPr="00DA03ED" w:rsidRDefault="00B01AD5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Таблица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1 – Перечень заказников местного значения, требующих реализации мероприятий по их преобразованию или прекращению функционирования</w:t>
      </w:r>
    </w:p>
    <w:tbl>
      <w:tblPr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2094"/>
        <w:gridCol w:w="1559"/>
        <w:gridCol w:w="4285"/>
      </w:tblGrid>
      <w:tr w:rsidR="008A6302" w:rsidRPr="008A6302" w:rsidTr="002F529F">
        <w:trPr>
          <w:trHeight w:val="20"/>
          <w:tblHeader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заказника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 (район)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536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="00536606">
              <w:rPr>
                <w:rFonts w:ascii="Times New Roman" w:eastAsia="Calibri" w:hAnsi="Times New Roman" w:cs="Times New Roman"/>
                <w:sz w:val="24"/>
                <w:szCs w:val="24"/>
              </w:rPr>
              <w:t>и № решения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Причина необходимости преобразования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Вязькутино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Березинский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23.12.2015 № 2098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Березинский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23.12.2015 № 2098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Дулебское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Березинский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23.12.2015 № 2098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Забродье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Березинский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23.12.2015 № 2098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Лозоровщина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Березинский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23.12.2015 № 2098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Березина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22.04.2013 № 500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Гайна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22.04.2013 № 500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границы, площади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состава земель в связи с включением части заказника в состав заказника республиканского значения «</w:t>
            </w: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Бонда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Вилейский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27.02.2015 № 267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Суражинский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Вилейский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27.02.2015 № 267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Борки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Вилейский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29.12.2014 № 1648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Гостилово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Вилейский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29.12.2015 № 1700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Колодки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Вилейский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29.12.2014 № 1648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Колковский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Клецкий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05.03.2018 № 271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Морочанский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Копыльский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07.05.2018 № 412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Ракитник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Копыльский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07.05.2018 № 412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Волка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Копыльский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02.10.2008 № 1090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Белый остров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Крупский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24.12.2014 № 1391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или прекращение функционирования после включения территории заказника в перспективный заказник республиканского значения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Еленка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Крупский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29.12.2018 № 1325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Липки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Крупский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21.12.2015 № 1482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Маковье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Крупский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21.12.2015 № 1482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Чабусы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26.12.2010 № 2319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Чисть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</w:rPr>
              <w:t>Молодечненский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30.12.2014 № 1263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Габы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Мядельский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30.12.2014 № 1674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или прекращение функционирования после включения территории заказника в перспективный заказник республиканского значения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Бытеньский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Пуховичский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30.10.2020 № 4014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или прекращение функционирования после включения территории заказника в перспективный заказник республиканского значения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Клетное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Пуховичский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14.01.2013 № 42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Воробьевский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Слуцкий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23.12.2015 № 4170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CC3C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Величковичи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30.12.2015 № 2786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Гричино</w:t>
            </w:r>
            <w:proofErr w:type="spellEnd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-Старобинский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30.12.2015 № 2786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Красное озеро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30.12.2015 № 2786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Святое озеро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30.12.2015 № 2786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Старобинский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29.06.2022 № 1014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уточнение и корректировка границы, площади и состава земель или прекращение функционирования после включения территории заказника в перспективный заказник республиканского значения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Солон - Солянка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Стародорожский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17.05.2016 № 529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2" w:rsidRPr="008A6302" w:rsidRDefault="008A6302" w:rsidP="00CC3C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2F529F">
        <w:trPr>
          <w:trHeight w:val="7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Черемша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Стародорожский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17.05.2016 № 529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Синицкая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гряда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Узденский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29.12.2015 № 2199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Ведрецкое</w:t>
            </w:r>
            <w:proofErr w:type="spellEnd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болото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Червенский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24.12.2015 № 2244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2F529F">
        <w:trPr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Червенский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18.01.2018 № 42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документации, границ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</w:tbl>
    <w:p w:rsid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</w:p>
    <w:p w:rsidR="008A6302" w:rsidRDefault="008A6302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Таблица 2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536606" w:rsidRP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Перечень памятников природы местного значения, требующих реализации мероприятий по их преобразованию или прекращению функционирования</w:t>
      </w: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83"/>
        <w:gridCol w:w="1928"/>
        <w:gridCol w:w="1418"/>
        <w:gridCol w:w="4111"/>
      </w:tblGrid>
      <w:tr w:rsidR="008A6302" w:rsidRPr="008A6302" w:rsidTr="00536606">
        <w:trPr>
          <w:trHeight w:val="20"/>
          <w:tblHeader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заказника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 (район)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Дата и № решения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Причина необходимости преобразования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Дубовые аллеи усадьбы </w:t>
            </w: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Чарноцких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Клецкий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02.04.20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397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Дерево липы мелколистной</w:t>
            </w:r>
            <w:r w:rsidR="0021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Юшковичи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18.05.2016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Дуб черешчатый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18.05.2016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Насаждение дуба черешчатого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18.05.2016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памятника природы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инвентаризации оценено как «не удовлетворительное», требуется детальное обследование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природного объекта и принятие решения о преобразовании или прекращении функционирования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Валун вблизи д. </w:t>
            </w: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Переток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18.05.2016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Законом 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Родник Мало-</w:t>
            </w: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Городятичского</w:t>
            </w:r>
            <w:proofErr w:type="spellEnd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18.05.2016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памятника природы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инвентаризации оценено как «плохое», требуется детальное обследование природного объекта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принятие решения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о преобразовании или прекращении функционирования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Родник в урочище Первый </w:t>
            </w: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Переток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18.05.2016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памятника природы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инвентаризации оценено как «плохое», требуется детальное обследование природного объекта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принятие решения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о преобразовании или прекращении функционирования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Вековой дуб </w:t>
            </w: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Молодечненского</w:t>
            </w:r>
            <w:proofErr w:type="spellEnd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лесхоза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</w:rPr>
              <w:t>Молодечненский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28.12. 2018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1501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режимов охраны в соответствие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 Законом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Старинный дуб </w:t>
            </w:r>
            <w:r w:rsidR="0021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Шиково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</w:rPr>
              <w:t>Молодечненский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28.12. 2018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1501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Копланщина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</w:rPr>
              <w:t>Молодечненский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28.10.2008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802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212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памятника природы (гора) запланирована ко включению </w:t>
            </w:r>
            <w:r w:rsidR="00CC3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заказника местного значения </w:t>
            </w:r>
            <w:r w:rsidR="00212F88">
              <w:rPr>
                <w:rFonts w:ascii="Times New Roman" w:eastAsia="Calibri" w:hAnsi="Times New Roman" w:cs="Times New Roman"/>
                <w:sz w:val="24"/>
                <w:szCs w:val="24"/>
              </w:rPr>
              <w:t>«Бортники»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этом случае требуется рассмотреть возможность </w:t>
            </w:r>
            <w:r w:rsidR="0021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о прекращении функционирования как памятника природы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Сновский</w:t>
            </w:r>
            <w:proofErr w:type="spellEnd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15.04.2019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544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93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93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Дубрава-1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30.12.2015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2785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памятника природы вошла в состав заказника местного значения «Старобинский», требуется рассмотреть возможность </w:t>
            </w:r>
            <w:r w:rsidR="00C93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прекращении функционирования как памятника природы либо сохранить статус, если для территории необходимо установить более жесткий режим по сравнению </w:t>
            </w:r>
            <w:r w:rsidR="00C93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 режимом заказника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Дубрава-2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30.12.2015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2785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памятника природы вошла в состав заказника местного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«Старобинский», требуется рассмотреть возможность </w:t>
            </w:r>
            <w:r w:rsidR="00C93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прекращении функционирования как памятника природы либо сохранить статус, если для территории необходимо установить более жесткий режим по сравнению </w:t>
            </w:r>
            <w:r w:rsidR="00C93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с режимом заказника</w:t>
            </w:r>
          </w:p>
        </w:tc>
      </w:tr>
      <w:tr w:rsidR="008A6302" w:rsidRPr="008A6302" w:rsidTr="00536606">
        <w:trPr>
          <w:trHeight w:val="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Камень-валун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6302">
              <w:rPr>
                <w:rFonts w:ascii="Times New Roman" w:eastAsia="Calibri" w:hAnsi="Times New Roman" w:cs="Times New Roman"/>
              </w:rPr>
              <w:t>Стародорожский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12.01.2016 </w:t>
            </w:r>
          </w:p>
          <w:p w:rsidR="008A6302" w:rsidRPr="008A6302" w:rsidRDefault="008A6302" w:rsidP="008A6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02" w:rsidRPr="008A6302" w:rsidRDefault="008A6302" w:rsidP="008A6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документации, границ </w:t>
            </w:r>
            <w:r w:rsidR="00C93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>и режимов охраны в соответствие</w:t>
            </w:r>
            <w:r w:rsidR="00C93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8A6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Законом </w:t>
            </w:r>
          </w:p>
        </w:tc>
      </w:tr>
    </w:tbl>
    <w:p w:rsidR="008A6302" w:rsidRPr="00DA03ED" w:rsidRDefault="008A6302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 качестве перспективных заказников, запланированных к объявлению, рассматриваются болотные массивы, ценные участки лесов и поймы рек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 высоким биологическим разнообразием. В список перспективных заказников включены следующие: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Двиноса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Логойский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Осицкое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Солигорский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Уша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Вилия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)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 Чистец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и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Мядельский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>ы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Барсучий лог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Вередовский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бор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заказник местного значения «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Двиноса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 расположен 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на участке реки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Двиноса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выше по течению от водохранилища в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г.п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. Плещеницы на площади около 750 га. Территория представляет собой участок открытой поймы реки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Двиноса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в естественном русле с прилегающими хвойно-мелколиственными лесами в долинах рек. В состав земель названного заказника планируется включить земли лесного фонда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Логойского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лесхоза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Нестановичское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и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Плещеницкое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лесничества) площадью 726,6 гектара 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земли </w:t>
      </w:r>
      <w:r w:rsidR="008E3C32" w:rsidRP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>открытого акционерного общества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(далее – ОАО)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«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Нестановичи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-Агро» площадью 19,2 гектара (земли под древесно-кустарниковой растительностью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и луговые земли).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заказник местного значения «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Осицкое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 размещается 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на землях лесного фонда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</w:t>
      </w:r>
      <w:r w:rsidR="008200B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квартал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ах </w:t>
      </w:r>
      <w:r w:rsidR="008200B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61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8200B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63, 74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8200B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78 (частично), 82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8200B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87 (частично), 95, 96, 102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− 107 (частично) </w:t>
      </w:r>
      <w:proofErr w:type="spellStart"/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>Величковичское</w:t>
      </w:r>
      <w:proofErr w:type="spellEnd"/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8200BF" w:rsidRP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лесничества 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</w:t>
      </w:r>
      <w:r w:rsidR="008200B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квартал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>ах</w:t>
      </w:r>
      <w:r w:rsidR="008200B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12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8200B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14, 23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8200B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26, 35 (частично)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Хоростовско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>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лесничества </w:t>
      </w:r>
      <w:r w:rsidR="008200B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Старобинского лесхоза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общей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площадью 3769,9 га и на землях под древесн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>о-кустарниковой растительностью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>ОАО</w:t>
      </w:r>
      <w:r w:rsidR="00C93058" w:rsidRP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имени Василия Захаровича Корж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>а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площадью 11,9 га. Территория представляет собой природный комплекс 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 высоким биологическим разнообразием. Лесной фонд составляют преимущественно мелколиственные насаждения болотных типов, чередующиеся с участками открытых болот.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заказник местного значения «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Уша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 расположен </w:t>
      </w:r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на левом берегу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Вилии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, к юго-западу от заказника «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Гостилово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 на площади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lastRenderedPageBreak/>
        <w:t>около 2,5 тыс. га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лесхоз,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Молодечненское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лесничество). Территория представляет собой лесной массив с преобладанием сосняков различных типов леса и групп возраста в междуречье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Вилии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и Уши, включая пойменные участки в долинах рек. Это ценный природный комплекс, включающий типичные биотопы, места обитания диких видов животных 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и места произрастания дикорастущих растений, включенных в Кра</w:t>
      </w:r>
      <w:r w:rsidR="008A6302">
        <w:rPr>
          <w:rFonts w:ascii="Times New Roman" w:hAnsi="Times New Roman" w:cs="Times New Roman"/>
          <w:spacing w:val="-8"/>
          <w:sz w:val="30"/>
          <w:szCs w:val="30"/>
          <w:lang w:bidi="ru-RU"/>
        </w:rPr>
        <w:t>сную книгу Республики Беларусь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заказник местного значения «Чистец» расположен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на границе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и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Мядельского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района на площади около 2866 га. Территория является частью перспективной территории Изумрудной сети «Чистец» (ES BY0000176). Выбранный участок представляет собой ценный лесоболотный комплекс, который является местом обитания видов животных 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растений, включенных в Красную книгу Республики Беларусь, в том числе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лосняка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Лезеля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Liparis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loeselii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и камнеломки болотной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Saxifraga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hirculus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. 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границах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района в состав земель заказника планируется включить земли лесного фонда </w:t>
      </w:r>
      <w:proofErr w:type="spellStart"/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>Ижского</w:t>
      </w:r>
      <w:proofErr w:type="spellEnd"/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лесничества</w:t>
      </w:r>
      <w:r w:rsidR="008E3C32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>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опытн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>ого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лесхоз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>а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площадью 722,2 гектара, земли ОАО «Новая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Любания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» площадью 58,6 гектара (земли под древесно-кустарниковой растительностью), земли ОАО «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райагросервис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» площадью 68,1 гектара (земли под болотами).</w:t>
      </w:r>
    </w:p>
    <w:p w:rsidR="00DA03ED" w:rsidRPr="00DA03ED" w:rsidRDefault="00DA03ED" w:rsidP="008A63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заказник местного значения «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Вередовский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бор» расположен на землях лесного фонда в границах кварталов 213, 241, 242 (выделы 1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–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3, 5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–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12, 16, 19), 243 (выделы 3, 4, 9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–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25, 47), 262, 263 (выделы 1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–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3, 6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–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12, 15, 16, 21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–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23, 25, 28, 30, 31, 38, 40), 265 (выделы 1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–</w:t>
      </w:r>
      <w:r w:rsidR="008E3C32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8, 10)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лесничества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лесхоза площадью 161,44 гектара. Территория проектируемого заказника представляет собой хорошо сохранившийся лесной массив, включающий места обитания охраняемых видов растений и животных. Лесной фонд составляют преимущественно хвойные леса (сосняки,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суборевые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елово-сосновые леса), для которых характерно господство бореальных (таежных) видов. Еловые и елово-березовые леса преобладают</w:t>
      </w:r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</w:t>
      </w:r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>в юго-западной части заказника</w:t>
      </w:r>
      <w:r w:rsidR="008A6302">
        <w:rPr>
          <w:rFonts w:ascii="Times New Roman" w:hAnsi="Times New Roman" w:cs="Times New Roman"/>
          <w:spacing w:val="-8"/>
          <w:sz w:val="30"/>
          <w:szCs w:val="30"/>
          <w:lang w:bidi="ru-RU"/>
        </w:rPr>
        <w:t>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заказник местного значения «Барсучий лог» расположен на землях лесного фонда в границах кварталов 156 (выделы 20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22), 157 (выделы 33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35), 168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170, 172, 173, 175, 176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Радошковичского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лесничества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лесхоза площадью около 280 гектаров, а также на примыкающих к указанным кварталам землях ОАО «Купала-Агро» (около 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60 га) и КФХ Корсак К.М. (около 60 га). Общая площадь проектируемого заказника составляет около 400 гектаров. Территория </w:t>
      </w:r>
      <w:proofErr w:type="gram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проектируемого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заказника</w:t>
      </w:r>
      <w:proofErr w:type="gram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представляет собой ценный участок лес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>ного массива, включающий редкие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типичные биотопы (леса в оврагах и на крутых склонах, родники </w:t>
      </w:r>
      <w:r w:rsid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родниковые болота). На территории заказника обнаружены места 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lastRenderedPageBreak/>
        <w:t xml:space="preserve">обитания барсука и других видов, включенных в Красную книгу Республики Беларусь. </w:t>
      </w:r>
    </w:p>
    <w:p w:rsidR="00DA03ED" w:rsidRPr="00DA03ED" w:rsidRDefault="00DA03ED" w:rsidP="000829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 список перспективных памятников природы включены следующие: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Великий камень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заклевский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(Березинский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Тополь черный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08290A" w:rsidRP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>Вековой дуб Борисовского лесхоза</w:t>
      </w:r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 </w:t>
      </w:r>
      <w:proofErr w:type="spellStart"/>
      <w:r w:rsidR="0008290A" w:rsidRP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Староборисовские</w:t>
      </w:r>
      <w:proofErr w:type="spellEnd"/>
      <w:r w:rsidR="0008290A" w:rsidRP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вековые дубы</w:t>
      </w:r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 </w:t>
      </w:r>
      <w:r w:rsidR="0008290A" w:rsidRP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Вековые липы </w:t>
      </w:r>
      <w:r w:rsid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</w:t>
      </w:r>
      <w:r w:rsidR="0008290A" w:rsidRP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д. </w:t>
      </w:r>
      <w:proofErr w:type="spellStart"/>
      <w:r w:rsidR="0008290A" w:rsidRP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>Упиревичи</w:t>
      </w:r>
      <w:proofErr w:type="spellEnd"/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="0008290A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Валун «Велят-камень»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Валуны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Валун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кимийский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Парк камней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Ель плакучая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Вековые деревья в усадьбе академика В.В. Пашкевича (Дзержинский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="00776287"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За</w:t>
      </w:r>
      <w:r w:rsid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вишинская</w:t>
      </w:r>
      <w:proofErr w:type="spellEnd"/>
      <w:r w:rsid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вековая липовая аллея</w:t>
      </w:r>
      <w:r w:rsidR="00776287"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="00776287"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Логойский</w:t>
      </w:r>
      <w:proofErr w:type="spellEnd"/>
      <w:r w:rsidR="00776287"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</w:t>
      </w:r>
      <w:r w:rsid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,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Группа деревьев в усадьбе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Хмаров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(Минский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Карельская береза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Купаловские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вязынские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) дубы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Фрагмент старинного парка в д.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Засвирь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Мядельский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Сад камней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Мядельский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Мир-гора (Слуцкий район),</w:t>
      </w:r>
      <w:r w:rsidR="00CC3C9B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Насаждение лиственницы европейской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Столбцовский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Для перспективных территорий подготовлены паспорта, в которых указывается состав землепользователей, определены их ори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ентировочные границы и площади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Перспективный памятник природы местного значения «Великий камень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заклевский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 (Березинский район). Памятником природы планируется объявить валун, принесенный во времена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сожской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стадии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припятского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оледенения 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220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–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150 тысяч лет назад с территории Скандинавии. Валун сложен розово-серым среднезернистым гранитом с включением темноцветных минералов. Азимут по длинной оси валуна имеет направление с севера на юг. Верхняя часть валуна плоская, округлой формы. Размеры валуна: расстояние по длинной оси составляет 4,90 м, по короткой – 3,50 м, высота – 1,20 м. Валун по своим размерам является одним из крупнейших валунов Центральной Беларуси 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относится к разряду уникальных объектов природы. Валун расположен 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в </w:t>
      </w:r>
      <w:r w:rsidR="00E31150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выдел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>е</w:t>
      </w:r>
      <w:r w:rsidR="00E31150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3 квартала 20 </w:t>
      </w:r>
      <w:proofErr w:type="spellStart"/>
      <w:r w:rsidR="00E31150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Маческого</w:t>
      </w:r>
      <w:proofErr w:type="spellEnd"/>
      <w:r w:rsidR="00E31150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лесничества 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>Березинского лесхоза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восточной части Березинского района в 14 км к востоку от г. </w:t>
      </w:r>
      <w:proofErr w:type="gram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Березино, 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</w:t>
      </w:r>
      <w:proofErr w:type="gramEnd"/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 4,7 км к востоку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от </w:t>
      </w:r>
      <w:proofErr w:type="spellStart"/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>аг</w:t>
      </w:r>
      <w:proofErr w:type="spellEnd"/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>. Погост и 0,7 км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 северу от существовавшего ран</w:t>
      </w:r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ее населенного пункта </w:t>
      </w:r>
      <w:proofErr w:type="spellStart"/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>Заклевье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. Площадь перспективного памятника природы составляет 0,0025 га.</w:t>
      </w:r>
    </w:p>
    <w:p w:rsid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памятник природы местного значения «Тополь черный»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район). Памятником природы предлагается объявить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высоковозрастный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экземпляр тополя черного на территории учебно-опытного участка Государственного учреждения дополнительного образования «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центр экологии и туризма» (г. Борисов, ул. Гоголя, напротив дома 11). Данный экземпляр характеризуется следующими биометрическими характеристиками: пе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>риметр ствола на высоте 1,3 м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составляет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742 см, общая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lastRenderedPageBreak/>
        <w:t>высота 30 м, высота до 1-й живой ветви – 4,4 м, высота максимальной ширины кроны – 13,9 м). Возраст дерева составляет 95 лет. Тополь черный произрастает в долине реки Березина и отличается наивысшими п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>оказателями роста                                и жизненности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(из числа зафиксированных) относительно биологических свойств данной породы и возраста. Дерево имеет ботаническую, научную, эколого-просветительскую ценность.</w:t>
      </w:r>
    </w:p>
    <w:p w:rsidR="00FF67F0" w:rsidRPr="00FF67F0" w:rsidRDefault="00FF67F0" w:rsidP="00FF67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памятник природы местного значения «Вековой дуб Борисовского лесхоза» (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 расположен </w:t>
      </w:r>
      <w:r w:rsidR="00E31150"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выделе 8 квартала 104 </w:t>
      </w:r>
      <w:proofErr w:type="spellStart"/>
      <w:r w:rsidR="00E31150"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Неманицкого</w:t>
      </w:r>
      <w:proofErr w:type="spellEnd"/>
      <w:r w:rsidR="00E31150"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опытно-производ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ственного лесничества</w:t>
      </w:r>
      <w:r w:rsidR="00E31150"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>ого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опытн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>ого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лесхоз</w:t>
      </w:r>
      <w:r w:rsidR="00E31150">
        <w:rPr>
          <w:rFonts w:ascii="Times New Roman" w:hAnsi="Times New Roman" w:cs="Times New Roman"/>
          <w:spacing w:val="-8"/>
          <w:sz w:val="30"/>
          <w:szCs w:val="30"/>
          <w:lang w:bidi="ru-RU"/>
        </w:rPr>
        <w:t>а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. Представляет собой 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отдельностоящее</w:t>
      </w:r>
      <w:proofErr w:type="spell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дерево дуба черешчатого высотой 33 метра. Периметр ствола 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>на высоте 1,3 м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составляет 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333 см. Радиус кроны: С – 10,7 м, В – 10,9 м, Ю – 8,3 м, З – 7,9 м, площадь 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кроны составляет 280 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кв.м</w:t>
      </w:r>
      <w:proofErr w:type="spell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. Возраст дерева составляет 140 лет. Состояние дерева характеризуется как «здоровое», повреждений ствола дерева не отмечено.</w:t>
      </w:r>
    </w:p>
    <w:p w:rsidR="00FF67F0" w:rsidRPr="00FF67F0" w:rsidRDefault="00FF67F0" w:rsidP="00FF67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памятник природы местного значения «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Староборисовские</w:t>
      </w:r>
      <w:proofErr w:type="spell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вековые дубы» (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 расположен 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аг</w:t>
      </w:r>
      <w:proofErr w:type="spell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. Старо-Борисов (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Староборисов</w:t>
      </w:r>
      <w:proofErr w:type="spell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) на территории 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Староборисов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ской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санаторной школы-интернат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. Представлен группой из 2 деревьев дуба черешчатого, возраст которых 145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150 лет.</w:t>
      </w:r>
    </w:p>
    <w:p w:rsidR="00FF67F0" w:rsidRPr="00DA03ED" w:rsidRDefault="00FF67F0" w:rsidP="00FF67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Перспективный памятник природы местного значения «Вековые липы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д. 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Упиревичи</w:t>
      </w:r>
      <w:proofErr w:type="spell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» (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 расположен в д. </w:t>
      </w:r>
      <w:proofErr w:type="spellStart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Упиревичи</w:t>
      </w:r>
      <w:proofErr w:type="spell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(</w:t>
      </w:r>
      <w:proofErr w:type="gramEnd"/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юго-западной части населенного пункта)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Пересадского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сельсовета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. Представлен группой из 4 деревьев липы мелколиственной, возраст которых 130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P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140 лет.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памятник природы местного значения «Валун «Велят-Камень»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 расположен в 25 км на юго-восток 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от г. Борисов, в 0,54 км на юго-юго-восток от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а</w:t>
      </w:r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>г</w:t>
      </w:r>
      <w:proofErr w:type="spellEnd"/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>. Велятичи, в урочище Перевоз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. Валун имеет перевернутую плоско-выпуклую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утюгообр</w:t>
      </w:r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>азную</w:t>
      </w:r>
      <w:proofErr w:type="spellEnd"/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>) заметно ограненную форму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с небольшими вмятинами и выбоинами (до 5 см). Морфометрические характеристики валуна: расстояние по длинной оси – </w:t>
      </w:r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3,36 м, расстояние по короткой оси – 2,33 м, высота – 1,3 м, периметр – </w:t>
      </w:r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10,1 м, объем – 5,3 м</w:t>
      </w:r>
      <w:r w:rsidRPr="00C93058">
        <w:rPr>
          <w:rFonts w:ascii="Times New Roman" w:hAnsi="Times New Roman" w:cs="Times New Roman"/>
          <w:spacing w:val="-8"/>
          <w:sz w:val="30"/>
          <w:szCs w:val="30"/>
          <w:vertAlign w:val="superscript"/>
          <w:lang w:bidi="ru-RU"/>
        </w:rPr>
        <w:t>3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, масса порядка 15,4 т. Валун принесен </w:t>
      </w:r>
      <w:proofErr w:type="gram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во время</w:t>
      </w:r>
      <w:proofErr w:type="gram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сожской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стадии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Припятского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оледенения (около 125 тысяч лет назад) предположительно с Карельской питающей провинции. Порода, слагающая валун, является биотитовым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плагиогнейсом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. Окраска породы серая пятнистая, по поверхностям выветривания с ржаво-бурым оттенком, связанным с развитием гидроокислов железа. Обладает полосчатой, массивной текстурой. Структура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порфиробластовая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среднезернистая. Валун «Велят-Камень» по своим размерам относится к крупнейшим валунам Центральной Беларуси, длина которых превышает 2 м и является уникальным геологическим объектом. Перспективный памятник природы расположен на землях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ОАО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«Птицефабрика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lastRenderedPageBreak/>
        <w:t xml:space="preserve">Велятичи» (земли под древесно-кустарниковой растительностью), ориентировочно площадь составит 0,003 га (28,26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кв.м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). Данный геологический объект рекомендован Комиссией по минералогическим, палеонтологическим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иным уникальным геологическим материалам при Министерстве природных ресурсов и охраны окружающей среды Республики Беларусь к объявлению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 статусе памятника природы.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Перспективный памятник природы местного значения «Валуны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 расположен в 450 м на северо-запад от северной границы 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</w:t>
      </w:r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д. </w:t>
      </w:r>
      <w:proofErr w:type="spellStart"/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>Кимия</w:t>
      </w:r>
      <w:proofErr w:type="spellEnd"/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Борисовского района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. Представляет собой группу из двух валунов размера</w:t>
      </w:r>
      <w:r w:rsidR="007D03C8">
        <w:rPr>
          <w:rFonts w:ascii="Times New Roman" w:hAnsi="Times New Roman" w:cs="Times New Roman"/>
          <w:spacing w:val="-8"/>
          <w:sz w:val="30"/>
          <w:szCs w:val="30"/>
          <w:lang w:bidi="ru-RU"/>
        </w:rPr>
        <w:t>ми 320×285×120 см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315×170×120 см. Оба валуна сложены разновидностью гранита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рапакиви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, характерной чертой которой являются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овоиды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калиевых полевых шпатов с оторочками из плагиоклазов. Валуны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по своим размерам относятся к крупнейшим валунам Центральной Беларуси, длина которых превышает 2 м и являются уникальным геологическим объектом. Перспективный памятник природы расположен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в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A40DA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выдел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е</w:t>
      </w:r>
      <w:r w:rsidR="00A40DA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34 квартала 27 </w:t>
      </w:r>
      <w:proofErr w:type="spellStart"/>
      <w:r w:rsidR="00A40DA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Зембинского</w:t>
      </w:r>
      <w:proofErr w:type="spellEnd"/>
      <w:r w:rsidR="00A40DA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лесничества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ого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опытн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ого лесхоза,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ориентировочно площадь составит 0,01 га (100,0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кв.м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).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Перспективный памятник природы местного значения «Валун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кимийский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Борисовский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 расположен в южной части деревни 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д. </w:t>
      </w:r>
      <w:proofErr w:type="spellStart"/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Кимия</w:t>
      </w:r>
      <w:proofErr w:type="spellEnd"/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Борисовского района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. Представляет собой отдельно стоящий крупный валун размерами 330×245×115 см, представленный сиенитом. Порода практически однородная, среднезернистая, с редкими включениями крупных зерен калиевого полевого шпата. Отличительной особенностью является красноватая окраска валуна. Учитывая размеры (относятся к крупнейшим валунам Центральной Беларуси), породу, предположение о том, что валун ранее не перемещался, можно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сделать вывод о высоком научном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природоохранном значении геологического объекта и возможности объявления памятника природы местного значения. Перспективный памятник природы расположен на землях общего пользования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д. </w:t>
      </w:r>
      <w:proofErr w:type="spellStart"/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Кимия</w:t>
      </w:r>
      <w:proofErr w:type="spellEnd"/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Зембинского</w:t>
      </w:r>
      <w:proofErr w:type="spellEnd"/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сельсовета,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ориентировочно площадь составит 0,003 га (28,26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кв.м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).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памятник природы местного значения «Парк камней»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район). Памятником природы предлагается объявить коллекцию ледниковых валунов выдающихся размеров, собранных в г. Вилейка на территории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м</w:t>
      </w:r>
      <w:r w:rsidR="00A40DAF" w:rsidRP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инско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го</w:t>
      </w:r>
      <w:r w:rsidR="00A40DAF" w:rsidRP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республиканско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го</w:t>
      </w:r>
      <w:r w:rsidR="00A40DAF" w:rsidRP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унитарно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го</w:t>
      </w:r>
      <w:r w:rsidR="00A40DAF" w:rsidRP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предприяти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я</w:t>
      </w:r>
      <w:r w:rsidR="00A40DAF" w:rsidRP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электроэнергетики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«</w:t>
      </w:r>
      <w:r w:rsidR="00A40DAF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МИНСКЭНЕРГО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 электрических сетей 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и в районе жилой застройки по ул. Волынца, 4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6. Среди валунов коллекции отмечены валун Любецкий, Большой камень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подсосенский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, конгломератный столб горы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Замчистая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, на некоторых из них установлены таблички 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 названиями. Это одна из крупных коллекций валунов на территории области, имеет научную (геологическую) и эколого-просветительскую ценность. Планируемая площадь памятника природы 0,05 га.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lastRenderedPageBreak/>
        <w:t>Перспективный памятник природы местного значения «Ель плакучая»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район). Памятником природы предлагается объявить дерево ели европейской, но с редкой плакучей формой кроны (ветви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черепитчато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наслаиваются и свисают вертикально вниз, нижние – распластаны шлейфом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по земле), полученной в результате прививки с целью достижения декоративности. Высота дерева 5 м, диаметр ствола 16,0 см, обхват 70 см, максимальная ширина кроны 2,5 метра. Возраст дерева составляет около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120 лет. Это уникальный экземпляр садовой формы ели обыкновенной, который имеет ботаническую, научную, эстетическую, историко-культурную ценность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и имеет эколого-просветительское значение. Произрастает в д. Куренец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Вилейского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района.</w:t>
      </w:r>
    </w:p>
    <w:p w:rsid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Перспективный памятник природы местного значения «Вековые деревья в усадьбе академика В.В.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Пашкевича» (Дзержинский район).</w:t>
      </w:r>
      <w:r w:rsid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От усадьбы академика </w:t>
      </w:r>
      <w:proofErr w:type="spellStart"/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В.В.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Пашкевича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оста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лся дом, знаменитый сад усадьбы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не сохранился, что связано с естественными причинами: возраст деревьев. Частично сохранилась обсадка по границе участка и отдельные старые деревья.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 частности, липы мелколи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стной и крупнолистной, ореха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, сосны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веймутовой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="00A40DA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на въезде (осталось одно дерево), дуба черешчатого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фастигиата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. Несмотря на фрагментарность сохранившихся насаждений, отдельные деревья представляют научную, эстетическую и историко-культурную ценность </w:t>
      </w:r>
      <w:r w:rsidR="009217E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и требуют специальных мер по их охране.</w:t>
      </w:r>
    </w:p>
    <w:p w:rsidR="00776287" w:rsidRPr="00DA03ED" w:rsidRDefault="00776287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памятник природы местного значения «</w:t>
      </w:r>
      <w:proofErr w:type="spellStart"/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Завишинская</w:t>
      </w:r>
      <w:proofErr w:type="spellEnd"/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вековая липовая аллея» (</w:t>
      </w:r>
      <w:proofErr w:type="spellStart"/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Логойский</w:t>
      </w:r>
      <w:proofErr w:type="spellEnd"/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 расположен в западной части деревни д. </w:t>
      </w:r>
      <w:proofErr w:type="spellStart"/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Завишино</w:t>
      </w:r>
      <w:proofErr w:type="spellEnd"/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, рядом с ГУО «</w:t>
      </w:r>
      <w:proofErr w:type="spellStart"/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Завишинская</w:t>
      </w:r>
      <w:proofErr w:type="spellEnd"/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УПК детсад-базовая школа», на тер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ритории ОАО «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Нестановичи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-Агро»</w:t>
      </w:r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. Представляет собой двухрядную посадку липы мелколистной (аллея), расстояние между рядами 5 м, расстояние между деревьями 4 м. Всего в аллее насчитывается около 350 деревьев липы. Средний периметр деревьев на высоте 1,3 м составляет 180 </w:t>
      </w:r>
      <w:proofErr w:type="gramStart"/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см, 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</w:t>
      </w:r>
      <w:proofErr w:type="gramEnd"/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</w:t>
      </w:r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максимальный – 281 см. Возраст деревьев 140</w:t>
      </w:r>
      <w:r w:rsidR="00212F8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Pr="00776287">
        <w:rPr>
          <w:rFonts w:ascii="Times New Roman" w:hAnsi="Times New Roman" w:cs="Times New Roman"/>
          <w:spacing w:val="-8"/>
          <w:sz w:val="30"/>
          <w:szCs w:val="30"/>
          <w:lang w:bidi="ru-RU"/>
        </w:rPr>
        <w:t>145 лет.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Перспективный памятник природы местного значения «Группа деревьев в усадьбе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Хмаров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» (Минский район). Памятник природы предлагается создать в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аг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.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Семково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Папернянского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сельсовета Минского района, где на месте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усадебно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-паркового комплекса XVIII века сохранились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старовозрастные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деревья и их групп</w:t>
      </w:r>
      <w:r w:rsidR="009217E6">
        <w:rPr>
          <w:rFonts w:ascii="Times New Roman" w:hAnsi="Times New Roman" w:cs="Times New Roman"/>
          <w:spacing w:val="-8"/>
          <w:sz w:val="30"/>
          <w:szCs w:val="30"/>
          <w:lang w:bidi="ru-RU"/>
        </w:rPr>
        <w:t>ы, в том числе липы, посаженные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во время закладки дворцового комплекса, а также фрагменты группы тополя белого высокого возраста при въезде. Фрагменты парка, частично сохранившиеся от первичной посадки, представляют особую дендрологическую ценность, имеют научное, историческое и эколого-просветительское значение.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памятник природы местного значения «Карельская береза»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район). Памятником природы предлагается объявить единичное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высоковозр</w:t>
      </w:r>
      <w:r w:rsidR="009217E6">
        <w:rPr>
          <w:rFonts w:ascii="Times New Roman" w:hAnsi="Times New Roman" w:cs="Times New Roman"/>
          <w:spacing w:val="-8"/>
          <w:sz w:val="30"/>
          <w:szCs w:val="30"/>
          <w:lang w:bidi="ru-RU"/>
        </w:rPr>
        <w:t>астное</w:t>
      </w:r>
      <w:proofErr w:type="spellEnd"/>
      <w:r w:rsidR="009217E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дерево карельской березы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в д.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Повязынь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. Общее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lastRenderedPageBreak/>
        <w:t>количество стволов – 10 шт. Дерево имеет ботаническую, научную, эколого-просветительскую ценность.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памятник природы местного значения «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Купаловские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вязынские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) дубы»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Молодечненский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район). Памятником природы предлагается объявить 8 деревьев дуба черешчатого высокого возраста (около 200 лет) рядом с музеем Я. Купалы в д.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Вязынка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. Деревья имеют выдающиеся биометрические параметры (высота от 21 до 24 м, периметр ствола (обхват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на высоте 1,3 м) от 4,5 до 6,2 м, высота до 1-</w:t>
      </w:r>
      <w:r w:rsidR="00FF67F0">
        <w:rPr>
          <w:rFonts w:ascii="Times New Roman" w:hAnsi="Times New Roman" w:cs="Times New Roman"/>
          <w:spacing w:val="-8"/>
          <w:sz w:val="30"/>
          <w:szCs w:val="30"/>
          <w:lang w:bidi="ru-RU"/>
        </w:rPr>
        <w:t>й живой ветви от 1,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5 до 5 м). Дубы имеют ботаническую, научную, историко-культурную, эколого-просветительскую ценность.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Перспективный памятник природы местного значения «Фрагмент старинного парка в д.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Засвирь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Мядельский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район). Территория планируемого памятника природы представлена фрагментом липово-дубового древостоя на 250-метровом вытянутом участке по южной окраине зеленой зоны вокруг бывшей деревянной усадьбы «Олешки».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Старовозрастный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древостой представлен лиственными породами аборигенной флоры: липой мелколистной (12 деревьев) и дубом черешчатым (7 деревьев), посадка которых была проведена в середине и конце XVIII века, возраст отдельных деревьев 220</w:t>
      </w:r>
      <w:r w:rsidR="009217E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−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270 лет. Средний периметр деревьев на высоте 1,3 м составляет 326 см: для дуба черешчатого – 421 см, для липы мелколистной – 270 см. Наивысших параметров достиг дуб черешчатый, периметр которого составил 581 см, возраст дерева </w:t>
      </w:r>
      <w:r w:rsidR="008200BF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           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270 лет. Насаждение представляет ботаническую, научную, эстетическую, историко-культурную ценность и имеет эколого-просветительское значение, обеспечивает сохранность генофонда биологического разнообразия отдельной местности.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памятник природы местного значения «Сад камней»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Мядельский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район). Памятником природы предлагается объявить группу валунов на землях Слободского сельсовета на границе со Слободским лесничеством ГПУ «Национальный парк «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Нарочанский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». Группа валунов, привезенных с окрестных полей, состоит из довольно крупных ледниковых валунов, разных по составу. Валуны плотно сложены друг к другу и создают живописную группу (размеры около 50×10</w:t>
      </w:r>
      <w:r w:rsidR="009217E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м). Это одно из крупнейших скоплений валунов на территории района, имеет научную (геологическую, историческую) и эколого-просветительскую ценность.</w:t>
      </w:r>
    </w:p>
    <w:p w:rsidR="00DA03ED" w:rsidRPr="00DA03ED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Перспективный памятник природы местного значения «Мир-гора» (Слуцкий район). Памятником природы предлагается объявить участок краевых ледниковых образований, представляющих собой остатки гряды, сформированной в период отступления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сожского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ледникового покрова, перекрытых в последующем водно-ледниковыми отложениями более позднего периода. Образования имеют значительное превышение абсолютной высоты по отношению к прилегающей выровненной поверхности и выражены в рельефе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lastRenderedPageBreak/>
        <w:t xml:space="preserve">максимальными высотами 206 м. Участок, планируемый к объявлению памятником природы, расположен в окрестностях деревни Сороги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Сорогского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сельсовета на стыке Слуцкого,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Стародорожского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и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Любанского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районов и носит название «Мир-гора». Это местная достопримечательность,</w:t>
      </w:r>
      <w:r w:rsidR="009217E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 которой связано много легенд</w:t>
      </w:r>
      <w:r w:rsidR="00C93058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и исторических фактов, в частности, здесь размещался опорный пункт геодезической сети 19 века. Территория имеет значительную научную, историко-культурную и этнографическую ценность.</w:t>
      </w:r>
    </w:p>
    <w:p w:rsidR="00D06FDE" w:rsidRDefault="00DA03ED" w:rsidP="00DA0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Перспективный памятник природы местного значения «Насаждение лиственницы европейской» (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Столбцовский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район). Насаждение лиственницы расположено </w:t>
      </w:r>
      <w:r w:rsidR="00D06FDE"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в границах выдела 56 квартала 49, выдела 11 квартала 48, выдела 2 и 3 квартала 58, выдела 1 квартала 59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proofErr w:type="spellStart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>Окинчицкого</w:t>
      </w:r>
      <w:proofErr w:type="spellEnd"/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</w:t>
      </w:r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ничества </w:t>
      </w:r>
      <w:proofErr w:type="spellStart"/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>Столбцовского</w:t>
      </w:r>
      <w:proofErr w:type="spellEnd"/>
      <w:r w:rsidR="00D06FDE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лесхоза</w:t>
      </w:r>
      <w:r w:rsidRPr="00DA03ED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и насчитывает 84 экземпляра лиственницы. Средняя окружность ствола деревьев на высоте 1,3 м от земли составляет 210 см (максимальная – 255 см). Средняя высота около 43 м.</w:t>
      </w:r>
    </w:p>
    <w:p w:rsidR="00251910" w:rsidRPr="00251910" w:rsidRDefault="00251910" w:rsidP="002519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251910">
        <w:rPr>
          <w:rFonts w:ascii="Times New Roman" w:hAnsi="Times New Roman" w:cs="Times New Roman"/>
          <w:spacing w:val="-8"/>
          <w:sz w:val="30"/>
          <w:szCs w:val="30"/>
          <w:lang w:bidi="ru-RU"/>
        </w:rPr>
        <w:t>На основании изложенного Минским областным комитетом природных ресурсов и охраны окружающей среды подготовлен проект решения Минского областного Совета депутатов «</w:t>
      </w:r>
      <w:r w:rsidR="00536606" w:rsidRP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Об утверждении схемы рационального размещения особо охраняемых природных территорий местного значения Минской области на 2024 – 2033 годы</w:t>
      </w:r>
      <w:r w:rsidRPr="00251910">
        <w:rPr>
          <w:rFonts w:ascii="Times New Roman" w:hAnsi="Times New Roman" w:cs="Times New Roman"/>
          <w:spacing w:val="-8"/>
          <w:sz w:val="30"/>
          <w:szCs w:val="30"/>
          <w:lang w:bidi="ru-RU"/>
        </w:rPr>
        <w:t>».</w:t>
      </w:r>
    </w:p>
    <w:p w:rsidR="00E71246" w:rsidRPr="00E71246" w:rsidRDefault="00E71246" w:rsidP="00E712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E71246">
        <w:rPr>
          <w:rFonts w:ascii="Times New Roman" w:hAnsi="Times New Roman" w:cs="Times New Roman"/>
          <w:spacing w:val="-8"/>
          <w:sz w:val="30"/>
          <w:szCs w:val="30"/>
          <w:lang w:bidi="ru-RU"/>
        </w:rPr>
        <w:t>Принятие данного решения не потребует дополнительного бюджетного финансирования.</w:t>
      </w:r>
    </w:p>
    <w:p w:rsidR="00E71246" w:rsidRPr="00E71246" w:rsidRDefault="00E71246" w:rsidP="00E712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</w:p>
    <w:p w:rsidR="00536606" w:rsidRDefault="00536606" w:rsidP="00E71246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П</w:t>
      </w:r>
      <w:r w:rsidR="00E71246" w:rsidRPr="00E71246">
        <w:rPr>
          <w:rFonts w:ascii="Times New Roman" w:hAnsi="Times New Roman" w:cs="Times New Roman"/>
          <w:spacing w:val="-8"/>
          <w:sz w:val="30"/>
          <w:szCs w:val="30"/>
          <w:lang w:bidi="ru-RU"/>
        </w:rPr>
        <w:t>редседател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ь </w:t>
      </w:r>
      <w:r w:rsidR="00E71246">
        <w:rPr>
          <w:rFonts w:ascii="Times New Roman" w:hAnsi="Times New Roman" w:cs="Times New Roman"/>
          <w:spacing w:val="-8"/>
          <w:sz w:val="30"/>
          <w:szCs w:val="30"/>
          <w:lang w:bidi="ru-RU"/>
        </w:rPr>
        <w:t>М</w:t>
      </w:r>
      <w:r w:rsidR="00E71246" w:rsidRPr="00E71246">
        <w:rPr>
          <w:rFonts w:ascii="Times New Roman" w:hAnsi="Times New Roman" w:cs="Times New Roman"/>
          <w:spacing w:val="-8"/>
          <w:sz w:val="30"/>
          <w:szCs w:val="30"/>
          <w:lang w:bidi="ru-RU"/>
        </w:rPr>
        <w:t>инского областного</w:t>
      </w:r>
    </w:p>
    <w:p w:rsidR="00536606" w:rsidRDefault="00E71246" w:rsidP="00E71246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E71246">
        <w:rPr>
          <w:rFonts w:ascii="Times New Roman" w:hAnsi="Times New Roman" w:cs="Times New Roman"/>
          <w:spacing w:val="-8"/>
          <w:sz w:val="30"/>
          <w:szCs w:val="30"/>
          <w:lang w:bidi="ru-RU"/>
        </w:rPr>
        <w:t>комитета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природных</w:t>
      </w:r>
      <w:r w:rsidRPr="00E7124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ресурсов</w:t>
      </w:r>
    </w:p>
    <w:p w:rsidR="00E71246" w:rsidRPr="00E71246" w:rsidRDefault="00E71246" w:rsidP="00536606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pacing w:val="-8"/>
          <w:sz w:val="30"/>
          <w:szCs w:val="30"/>
          <w:lang w:bidi="ru-RU"/>
        </w:rPr>
      </w:pPr>
      <w:r w:rsidRPr="00E71246">
        <w:rPr>
          <w:rFonts w:ascii="Times New Roman" w:hAnsi="Times New Roman" w:cs="Times New Roman"/>
          <w:spacing w:val="-8"/>
          <w:sz w:val="30"/>
          <w:szCs w:val="30"/>
          <w:lang w:bidi="ru-RU"/>
        </w:rPr>
        <w:t>и охраны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  <w:lang w:bidi="ru-RU"/>
        </w:rPr>
        <w:t>окружающей</w:t>
      </w:r>
      <w:r w:rsidRPr="00E71246">
        <w:rPr>
          <w:rFonts w:ascii="Times New Roman" w:hAnsi="Times New Roman" w:cs="Times New Roman"/>
          <w:spacing w:val="-8"/>
          <w:sz w:val="30"/>
          <w:szCs w:val="30"/>
          <w:lang w:bidi="ru-RU"/>
        </w:rPr>
        <w:t xml:space="preserve"> среды</w:t>
      </w:r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ab/>
      </w:r>
      <w:proofErr w:type="spellStart"/>
      <w:r w:rsidR="00536606">
        <w:rPr>
          <w:rFonts w:ascii="Times New Roman" w:hAnsi="Times New Roman" w:cs="Times New Roman"/>
          <w:spacing w:val="-8"/>
          <w:sz w:val="30"/>
          <w:szCs w:val="30"/>
          <w:lang w:bidi="ru-RU"/>
        </w:rPr>
        <w:t>Е.В.Полещук</w:t>
      </w:r>
      <w:proofErr w:type="spellEnd"/>
    </w:p>
    <w:p w:rsidR="00E71246" w:rsidRDefault="00E71246" w:rsidP="00E712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DA34EE" w:rsidRPr="00E71246" w:rsidRDefault="00DA34EE" w:rsidP="00DA34EE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13 ноября 2023 г.</w:t>
      </w:r>
    </w:p>
    <w:sectPr w:rsidR="00DA34EE" w:rsidRPr="00E71246" w:rsidSect="008E3C3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A9" w:rsidRDefault="008658A9" w:rsidP="008E3C32">
      <w:pPr>
        <w:spacing w:after="0" w:line="240" w:lineRule="auto"/>
      </w:pPr>
      <w:r>
        <w:separator/>
      </w:r>
    </w:p>
  </w:endnote>
  <w:endnote w:type="continuationSeparator" w:id="0">
    <w:p w:rsidR="008658A9" w:rsidRDefault="008658A9" w:rsidP="008E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A9" w:rsidRDefault="008658A9" w:rsidP="008E3C32">
      <w:pPr>
        <w:spacing w:after="0" w:line="240" w:lineRule="auto"/>
      </w:pPr>
      <w:r>
        <w:separator/>
      </w:r>
    </w:p>
  </w:footnote>
  <w:footnote w:type="continuationSeparator" w:id="0">
    <w:p w:rsidR="008658A9" w:rsidRDefault="008658A9" w:rsidP="008E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004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E3C32" w:rsidRPr="008E3C32" w:rsidRDefault="008E3C3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E3C3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E3C3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E3C3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67CCD">
          <w:rPr>
            <w:rFonts w:ascii="Times New Roman" w:hAnsi="Times New Roman" w:cs="Times New Roman"/>
            <w:noProof/>
            <w:sz w:val="26"/>
            <w:szCs w:val="26"/>
          </w:rPr>
          <w:t>14</w:t>
        </w:r>
        <w:r w:rsidRPr="008E3C3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E3C32" w:rsidRDefault="008E3C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6"/>
    <w:rsid w:val="00017650"/>
    <w:rsid w:val="00035997"/>
    <w:rsid w:val="0006244D"/>
    <w:rsid w:val="0008290A"/>
    <w:rsid w:val="000A561F"/>
    <w:rsid w:val="000F1F9D"/>
    <w:rsid w:val="00126187"/>
    <w:rsid w:val="001E1F3B"/>
    <w:rsid w:val="00212F88"/>
    <w:rsid w:val="00251910"/>
    <w:rsid w:val="0026037A"/>
    <w:rsid w:val="002B2FB8"/>
    <w:rsid w:val="002F529F"/>
    <w:rsid w:val="003C3BAD"/>
    <w:rsid w:val="00467CCD"/>
    <w:rsid w:val="004C6B72"/>
    <w:rsid w:val="00536606"/>
    <w:rsid w:val="0063188A"/>
    <w:rsid w:val="00651699"/>
    <w:rsid w:val="006621DE"/>
    <w:rsid w:val="007357FB"/>
    <w:rsid w:val="00776287"/>
    <w:rsid w:val="007D03C8"/>
    <w:rsid w:val="008200BF"/>
    <w:rsid w:val="008658A9"/>
    <w:rsid w:val="00893B6F"/>
    <w:rsid w:val="008A6302"/>
    <w:rsid w:val="008D093D"/>
    <w:rsid w:val="008E3C32"/>
    <w:rsid w:val="009217E6"/>
    <w:rsid w:val="00947848"/>
    <w:rsid w:val="009B1FE7"/>
    <w:rsid w:val="00A40DAF"/>
    <w:rsid w:val="00A82A3F"/>
    <w:rsid w:val="00AB19A1"/>
    <w:rsid w:val="00B01AD5"/>
    <w:rsid w:val="00B37B4A"/>
    <w:rsid w:val="00C93058"/>
    <w:rsid w:val="00CC3C9B"/>
    <w:rsid w:val="00CD47A8"/>
    <w:rsid w:val="00CD47EA"/>
    <w:rsid w:val="00CD7498"/>
    <w:rsid w:val="00D06FDE"/>
    <w:rsid w:val="00DA03ED"/>
    <w:rsid w:val="00DA34EE"/>
    <w:rsid w:val="00DC635E"/>
    <w:rsid w:val="00E31150"/>
    <w:rsid w:val="00E71246"/>
    <w:rsid w:val="00EB0FB1"/>
    <w:rsid w:val="00F46461"/>
    <w:rsid w:val="00FA2554"/>
    <w:rsid w:val="00FD4F7F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F5DA-0B2A-4F7B-8BA3-5B8A47B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1246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71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24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C32"/>
  </w:style>
  <w:style w:type="paragraph" w:styleId="a8">
    <w:name w:val="footer"/>
    <w:basedOn w:val="a"/>
    <w:link w:val="a9"/>
    <w:uiPriority w:val="99"/>
    <w:unhideWhenUsed/>
    <w:rsid w:val="008E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D541-317E-499C-96EE-609AFD88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2023-11-22T14:47:00Z</cp:lastPrinted>
  <dcterms:created xsi:type="dcterms:W3CDTF">2023-11-21T07:01:00Z</dcterms:created>
  <dcterms:modified xsi:type="dcterms:W3CDTF">2023-11-28T11:55:00Z</dcterms:modified>
</cp:coreProperties>
</file>